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0" w:before="20" w:line="360" w:lineRule="auto"/>
        <w:ind w:left="567" w:right="567" w:firstLine="719.9999999999999"/>
        <w:jc w:val="both"/>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b w:val="1"/>
          <w:sz w:val="24"/>
          <w:szCs w:val="24"/>
          <w:u w:val="single"/>
          <w:rtl w:val="0"/>
        </w:rPr>
        <w:t xml:space="preserve">ANTI-DEFECTION LAW IN INDIA: A CRITICAL ANALYSIS</w:t>
      </w:r>
    </w:p>
    <w:p w:rsidR="00000000" w:rsidDel="00000000" w:rsidP="00000000" w:rsidRDefault="00000000" w:rsidRPr="00000000" w14:paraId="00000002">
      <w:pPr>
        <w:spacing w:after="20" w:before="20" w:line="360" w:lineRule="auto"/>
        <w:ind w:left="567" w:right="567" w:firstLine="0"/>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Author: Sairee Ghosh, LL.M at Vidyasagar Universty.</w:t>
      </w:r>
    </w:p>
    <w:p w:rsidR="00000000" w:rsidDel="00000000" w:rsidP="00000000" w:rsidRDefault="00000000" w:rsidRPr="00000000" w14:paraId="00000003">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4">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ABSTRACT</w:t>
      </w:r>
    </w:p>
    <w:p w:rsidR="00000000" w:rsidDel="00000000" w:rsidP="00000000" w:rsidRDefault="00000000" w:rsidRPr="00000000" w14:paraId="00000005">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framework of Indian democracy, the Anti-defection act is extremely significant. Even with the Anti-Defection rules in existence, political defections continue in India, raising concerns about how effective these rules are at maintaining political stability and deterring elected officials from acting strategically. This paper examines the reasons for the persistent incidence of political defections in India and evaluates the effectiveness of the Anti-Defection Laws in addressing the issue. Moreover, this study will look at the evolution of the law, its importance to Indian Democracy, and its authority. In this study author will examine affairs and criticisms made against the law in addition to suggesting modifications to the current system.</w:t>
      </w:r>
    </w:p>
    <w:p w:rsidR="00000000" w:rsidDel="00000000" w:rsidP="00000000" w:rsidRDefault="00000000" w:rsidRPr="00000000" w14:paraId="00000006">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7">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KEYWORDS</w:t>
      </w:r>
    </w:p>
    <w:p w:rsidR="00000000" w:rsidDel="00000000" w:rsidP="00000000" w:rsidRDefault="00000000" w:rsidRPr="00000000" w14:paraId="00000008">
      <w:pPr>
        <w:spacing w:after="20" w:before="20" w:line="360" w:lineRule="auto"/>
        <w:ind w:righ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Indian Constitution, Government, Anti-Defection Law, Indian Democracy</w:t>
      </w:r>
    </w:p>
    <w:p w:rsidR="00000000" w:rsidDel="00000000" w:rsidP="00000000" w:rsidRDefault="00000000" w:rsidRPr="00000000" w14:paraId="00000009">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A">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INTRODUCTION</w:t>
      </w:r>
    </w:p>
    <w:p w:rsidR="00000000" w:rsidDel="00000000" w:rsidP="00000000" w:rsidRDefault="00000000" w:rsidRPr="00000000" w14:paraId="0000000B">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Anti-Defection statute was enforced for the elimination of the Elected Representatives (MPs &amp; MLAs) from the Legislature from switching parties. Recreancy weakens the democracy and making it more difficult to install stable administrations.</w:t>
      </w:r>
    </w:p>
    <w:p w:rsidR="00000000" w:rsidDel="00000000" w:rsidP="00000000" w:rsidRDefault="00000000" w:rsidRPr="00000000" w14:paraId="0000000C">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composition emphasizes the critical analysis of the Anti-Defection Law, and its influence on Indian democracy. The study further embraces the evolution of the law, its importance to Indian Democracy, and its authority. Some instances for the grounds for disqualification along with adoptions by the Constitution are surveyed to be acquainted with the Anti-Defection Law and its reference in the Indian Constitution.</w:t>
      </w:r>
      <w:r w:rsidDel="00000000" w:rsidR="00000000" w:rsidRPr="00000000">
        <w:rPr>
          <w:rFonts w:ascii="Times New Roman" w:cs="Times New Roman" w:eastAsia="Times New Roman" w:hAnsi="Times New Roman"/>
          <w:sz w:val="24"/>
          <w:szCs w:val="24"/>
          <w:vertAlign w:val="superscript"/>
        </w:rPr>
        <w:footnoteReference w:customMarkFollows="0" w:id="0"/>
      </w:r>
      <w:r w:rsidDel="00000000" w:rsidR="00000000" w:rsidRPr="00000000">
        <w:rPr>
          <w:rtl w:val="0"/>
        </w:rPr>
      </w:r>
    </w:p>
    <w:p w:rsidR="00000000" w:rsidDel="00000000" w:rsidP="00000000" w:rsidRDefault="00000000" w:rsidRPr="00000000" w14:paraId="0000000D">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research uses principal sources such as books, journals and the internet sources to provide a vast comprehension of the Anti-Defection Law in India.</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Genesis</w:t>
      </w:r>
    </w:p>
    <w:p w:rsidR="00000000" w:rsidDel="00000000" w:rsidP="00000000" w:rsidRDefault="00000000" w:rsidRPr="00000000" w14:paraId="00000010">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have been defections in India in the past during the British reign. Central Legislator, </w:t>
      </w:r>
      <w:r w:rsidDel="00000000" w:rsidR="00000000" w:rsidRPr="00000000">
        <w:rPr>
          <w:rFonts w:ascii="Times New Roman" w:cs="Times New Roman" w:eastAsia="Times New Roman" w:hAnsi="Times New Roman"/>
          <w:b w:val="1"/>
          <w:sz w:val="24"/>
          <w:szCs w:val="24"/>
          <w:rtl w:val="0"/>
        </w:rPr>
        <w:t xml:space="preserve">Shri Shyam Lal Nehru</w:t>
      </w:r>
      <w:r w:rsidDel="00000000" w:rsidR="00000000" w:rsidRPr="00000000">
        <w:rPr>
          <w:rFonts w:ascii="Times New Roman" w:cs="Times New Roman" w:eastAsia="Times New Roman" w:hAnsi="Times New Roman"/>
          <w:sz w:val="24"/>
          <w:szCs w:val="24"/>
          <w:rtl w:val="0"/>
        </w:rPr>
        <w:t xml:space="preserve">, switched political parties and sided with the British instead of the Congress.</w:t>
      </w:r>
      <w:r w:rsidDel="00000000" w:rsidR="00000000" w:rsidRPr="00000000">
        <w:rPr>
          <w:rFonts w:ascii="Times New Roman" w:cs="Times New Roman" w:eastAsia="Times New Roman" w:hAnsi="Times New Roman"/>
          <w:sz w:val="24"/>
          <w:szCs w:val="24"/>
          <w:vertAlign w:val="superscript"/>
        </w:rPr>
        <w:footnoteReference w:customMarkFollows="0" w:id="1"/>
      </w:r>
      <w:r w:rsidDel="00000000" w:rsidR="00000000" w:rsidRPr="00000000">
        <w:rPr>
          <w:rFonts w:ascii="Times New Roman" w:cs="Times New Roman" w:eastAsia="Times New Roman" w:hAnsi="Times New Roman"/>
          <w:sz w:val="24"/>
          <w:szCs w:val="24"/>
          <w:rtl w:val="0"/>
        </w:rPr>
        <w:t xml:space="preserve"> Similar to this in 1937, </w:t>
      </w:r>
      <w:r w:rsidDel="00000000" w:rsidR="00000000" w:rsidRPr="00000000">
        <w:rPr>
          <w:rFonts w:ascii="Times New Roman" w:cs="Times New Roman" w:eastAsia="Times New Roman" w:hAnsi="Times New Roman"/>
          <w:b w:val="1"/>
          <w:sz w:val="24"/>
          <w:szCs w:val="24"/>
          <w:rtl w:val="0"/>
        </w:rPr>
        <w:t xml:space="preserve">Shri Hafiz Mohammed Ibrahim</w:t>
      </w:r>
      <w:r w:rsidDel="00000000" w:rsidR="00000000" w:rsidRPr="00000000">
        <w:rPr>
          <w:rFonts w:ascii="Times New Roman" w:cs="Times New Roman" w:eastAsia="Times New Roman" w:hAnsi="Times New Roman"/>
          <w:sz w:val="24"/>
          <w:szCs w:val="24"/>
          <w:rtl w:val="0"/>
        </w:rPr>
        <w:t xml:space="preserve"> was elected to the Muslim League Ticket in Uttar Pradesh, but later he changed and joined Congress.</w:t>
      </w:r>
      <w:r w:rsidDel="00000000" w:rsidR="00000000" w:rsidRPr="00000000">
        <w:rPr>
          <w:rFonts w:ascii="Times New Roman" w:cs="Times New Roman" w:eastAsia="Times New Roman" w:hAnsi="Times New Roman"/>
          <w:sz w:val="24"/>
          <w:szCs w:val="24"/>
          <w:vertAlign w:val="superscript"/>
        </w:rPr>
        <w:footnoteReference w:customMarkFollows="0" w:id="2"/>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1">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w:t>
      </w:r>
      <w:r w:rsidDel="00000000" w:rsidR="00000000" w:rsidRPr="00000000">
        <w:rPr>
          <w:rFonts w:ascii="Times New Roman" w:cs="Times New Roman" w:eastAsia="Times New Roman" w:hAnsi="Times New Roman"/>
          <w:b w:val="1"/>
          <w:sz w:val="24"/>
          <w:szCs w:val="24"/>
          <w:rtl w:val="0"/>
        </w:rPr>
        <w:t xml:space="preserve">Chavan Committee Report (1969)</w:t>
      </w:r>
      <w:r w:rsidDel="00000000" w:rsidR="00000000" w:rsidRPr="00000000">
        <w:rPr>
          <w:rFonts w:ascii="Times New Roman" w:cs="Times New Roman" w:eastAsia="Times New Roman" w:hAnsi="Times New Roman"/>
          <w:sz w:val="24"/>
          <w:szCs w:val="24"/>
          <w:rtl w:val="0"/>
        </w:rPr>
        <w:t xml:space="preserve"> states that during the on-year span between March 1967 and February 1968, Indian Politics underwent such radical transformation that lawmakers frequently switched Parties.</w:t>
      </w:r>
      <w:r w:rsidDel="00000000" w:rsidR="00000000" w:rsidRPr="00000000">
        <w:rPr>
          <w:rFonts w:ascii="Times New Roman" w:cs="Times New Roman" w:eastAsia="Times New Roman" w:hAnsi="Times New Roman"/>
          <w:sz w:val="24"/>
          <w:szCs w:val="24"/>
          <w:vertAlign w:val="superscript"/>
        </w:rPr>
        <w:footnoteReference w:customMarkFollows="0" w:id="3"/>
      </w:r>
      <w:r w:rsidDel="00000000" w:rsidR="00000000" w:rsidRPr="00000000">
        <w:rPr>
          <w:rFonts w:ascii="Times New Roman" w:cs="Times New Roman" w:eastAsia="Times New Roman" w:hAnsi="Times New Roman"/>
          <w:sz w:val="24"/>
          <w:szCs w:val="24"/>
          <w:rtl w:val="0"/>
        </w:rPr>
        <w:t xml:space="preserve"> Furthermore, during a 12 month period between the First and Fourth General Elections, the average rate of defection was 438 defections. For this reason Indian required a change in the political scenario and a strict prohibition law for the stability of the administration and ease corruption inside the parties. As a result, new reform was needed in Indian Politics and regulations for the defections were adopted to avoid leakage of secrets of one party to the other.</w:t>
      </w:r>
    </w:p>
    <w:p w:rsidR="00000000" w:rsidDel="00000000" w:rsidP="00000000" w:rsidRDefault="00000000" w:rsidRPr="00000000" w14:paraId="00000012">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Anti-Defection Law was added to the 10</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rtl w:val="0"/>
        </w:rPr>
        <w:t xml:space="preserve"> Schedule of the Indian Constitution in 1985 by the 52</w:t>
      </w:r>
      <w:r w:rsidDel="00000000" w:rsidR="00000000" w:rsidRPr="00000000">
        <w:rPr>
          <w:rFonts w:ascii="Times New Roman" w:cs="Times New Roman" w:eastAsia="Times New Roman" w:hAnsi="Times New Roman"/>
          <w:sz w:val="24"/>
          <w:szCs w:val="24"/>
          <w:vertAlign w:val="superscript"/>
          <w:rtl w:val="0"/>
        </w:rPr>
        <w:t xml:space="preserve">nd</w:t>
      </w:r>
      <w:r w:rsidDel="00000000" w:rsidR="00000000" w:rsidRPr="00000000">
        <w:rPr>
          <w:rFonts w:ascii="Times New Roman" w:cs="Times New Roman" w:eastAsia="Times New Roman" w:hAnsi="Times New Roman"/>
          <w:sz w:val="24"/>
          <w:szCs w:val="24"/>
          <w:rtl w:val="0"/>
        </w:rPr>
        <w:t xml:space="preserve"> Amendment Act of 1985. This law bans the MPs and MLAs from leaving their existing parties.</w:t>
      </w:r>
    </w:p>
    <w:p w:rsidR="00000000" w:rsidDel="00000000" w:rsidP="00000000" w:rsidRDefault="00000000" w:rsidRPr="00000000" w14:paraId="00000013">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w:t>
      </w:r>
      <w:r w:rsidDel="00000000" w:rsidR="00000000" w:rsidRPr="00000000">
        <w:rPr>
          <w:rFonts w:ascii="Times New Roman" w:cs="Times New Roman" w:eastAsia="Times New Roman" w:hAnsi="Times New Roman"/>
          <w:b w:val="1"/>
          <w:sz w:val="24"/>
          <w:szCs w:val="24"/>
          <w:rtl w:val="0"/>
        </w:rPr>
        <w:t xml:space="preserve">Gaya Lal</w:t>
      </w:r>
      <w:r w:rsidDel="00000000" w:rsidR="00000000" w:rsidRPr="00000000">
        <w:rPr>
          <w:rFonts w:ascii="Times New Roman" w:cs="Times New Roman" w:eastAsia="Times New Roman" w:hAnsi="Times New Roman"/>
          <w:sz w:val="24"/>
          <w:szCs w:val="24"/>
          <w:rtl w:val="0"/>
        </w:rPr>
        <w:t xml:space="preserve">, a Haryana MLA, changed political parties three times in one day in 1967, the phrase </w:t>
      </w:r>
      <w:r w:rsidDel="00000000" w:rsidR="00000000" w:rsidRPr="00000000">
        <w:rPr>
          <w:rFonts w:ascii="Times New Roman" w:cs="Times New Roman" w:eastAsia="Times New Roman" w:hAnsi="Times New Roman"/>
          <w:b w:val="1"/>
          <w:i w:val="1"/>
          <w:sz w:val="24"/>
          <w:szCs w:val="24"/>
          <w:rtl w:val="0"/>
        </w:rPr>
        <w:t xml:space="preserve">“Aaya Ram Gaya Ram”</w:t>
      </w:r>
      <w:r w:rsidDel="00000000" w:rsidR="00000000" w:rsidRPr="00000000">
        <w:rPr>
          <w:rFonts w:ascii="Times New Roman" w:cs="Times New Roman" w:eastAsia="Times New Roman" w:hAnsi="Times New Roman"/>
          <w:sz w:val="24"/>
          <w:szCs w:val="24"/>
          <w:vertAlign w:val="superscript"/>
        </w:rPr>
        <w:footnoteReference w:customMarkFollows="0" w:id="4"/>
      </w:r>
      <w:r w:rsidDel="00000000" w:rsidR="00000000" w:rsidRPr="00000000">
        <w:rPr>
          <w:rFonts w:ascii="Times New Roman" w:cs="Times New Roman" w:eastAsia="Times New Roman" w:hAnsi="Times New Roman"/>
          <w:sz w:val="24"/>
          <w:szCs w:val="24"/>
          <w:rtl w:val="0"/>
        </w:rPr>
        <w:t xml:space="preserve"> gained widespread recognition in the Indian Political community.</w:t>
      </w:r>
    </w:p>
    <w:p w:rsidR="00000000" w:rsidDel="00000000" w:rsidP="00000000" w:rsidRDefault="00000000" w:rsidRPr="00000000" w14:paraId="00000014">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continuation of defections of representatives destroyed the stability of the Indian Political System and was hard for the State and Federal Government to function.</w:t>
      </w:r>
    </w:p>
    <w:p w:rsidR="00000000" w:rsidDel="00000000" w:rsidP="00000000" w:rsidRDefault="00000000" w:rsidRPr="00000000" w14:paraId="00000015">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2006 case of </w:t>
      </w:r>
      <w:r w:rsidDel="00000000" w:rsidR="00000000" w:rsidRPr="00000000">
        <w:rPr>
          <w:rFonts w:ascii="Times New Roman" w:cs="Times New Roman" w:eastAsia="Times New Roman" w:hAnsi="Times New Roman"/>
          <w:b w:val="1"/>
          <w:i w:val="1"/>
          <w:sz w:val="24"/>
          <w:szCs w:val="24"/>
          <w:rtl w:val="0"/>
        </w:rPr>
        <w:t xml:space="preserve">Kihoto Hollohan vs. Zachillhu</w:t>
      </w:r>
      <w:r w:rsidDel="00000000" w:rsidR="00000000" w:rsidRPr="00000000">
        <w:rPr>
          <w:rFonts w:ascii="Times New Roman" w:cs="Times New Roman" w:eastAsia="Times New Roman" w:hAnsi="Times New Roman"/>
          <w:i w:val="1"/>
          <w:sz w:val="24"/>
          <w:szCs w:val="24"/>
          <w:vertAlign w:val="superscript"/>
        </w:rPr>
        <w:footnoteReference w:customMarkFollows="0" w:id="5"/>
      </w:r>
      <w:r w:rsidDel="00000000" w:rsidR="00000000" w:rsidRPr="00000000">
        <w:rPr>
          <w:rFonts w:ascii="Times New Roman" w:cs="Times New Roman" w:eastAsia="Times New Roman" w:hAnsi="Times New Roman"/>
          <w:sz w:val="24"/>
          <w:szCs w:val="24"/>
          <w:rtl w:val="0"/>
        </w:rPr>
        <w:t xml:space="preserve">, the Indian Supreme Court upheld the importance of the Anti-Defection Law and ruled that it does not violate the legislators “</w:t>
      </w:r>
      <w:r w:rsidDel="00000000" w:rsidR="00000000" w:rsidRPr="00000000">
        <w:rPr>
          <w:rFonts w:ascii="Times New Roman" w:cs="Times New Roman" w:eastAsia="Times New Roman" w:hAnsi="Times New Roman"/>
          <w:b w:val="1"/>
          <w:sz w:val="24"/>
          <w:szCs w:val="24"/>
          <w:rtl w:val="0"/>
        </w:rPr>
        <w:t xml:space="preserve">Right to Freedom of Speech and Expression</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16">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Thus, </w:t>
      </w:r>
      <w:r w:rsidDel="00000000" w:rsidR="00000000" w:rsidRPr="00000000">
        <w:rPr>
          <w:rFonts w:ascii="Times New Roman" w:cs="Times New Roman" w:eastAsia="Times New Roman" w:hAnsi="Times New Roman"/>
          <w:b w:val="1"/>
          <w:sz w:val="24"/>
          <w:szCs w:val="24"/>
          <w:rtl w:val="0"/>
        </w:rPr>
        <w:t xml:space="preserve">Rajiv Gandhi, the Prime Minister of India</w:t>
      </w:r>
      <w:r w:rsidDel="00000000" w:rsidR="00000000" w:rsidRPr="00000000">
        <w:rPr>
          <w:rFonts w:ascii="Times New Roman" w:cs="Times New Roman" w:eastAsia="Times New Roman" w:hAnsi="Times New Roman"/>
          <w:sz w:val="24"/>
          <w:szCs w:val="24"/>
          <w:rtl w:val="0"/>
        </w:rPr>
        <w:t xml:space="preserve"> at that time, proposed the law to lessen the risk of the recreation. He passed the Anti-Defection Law and the Constitution was amended to add the law by the 52</w:t>
      </w:r>
      <w:r w:rsidDel="00000000" w:rsidR="00000000" w:rsidRPr="00000000">
        <w:rPr>
          <w:rFonts w:ascii="Times New Roman" w:cs="Times New Roman" w:eastAsia="Times New Roman" w:hAnsi="Times New Roman"/>
          <w:sz w:val="24"/>
          <w:szCs w:val="24"/>
          <w:vertAlign w:val="superscript"/>
          <w:rtl w:val="0"/>
        </w:rPr>
        <w:t xml:space="preserve">nd</w:t>
      </w:r>
      <w:r w:rsidDel="00000000" w:rsidR="00000000" w:rsidRPr="00000000">
        <w:rPr>
          <w:rFonts w:ascii="Times New Roman" w:cs="Times New Roman" w:eastAsia="Times New Roman" w:hAnsi="Times New Roman"/>
          <w:sz w:val="24"/>
          <w:szCs w:val="24"/>
          <w:rtl w:val="0"/>
        </w:rPr>
        <w:t xml:space="preserve"> (Amendment) Act of 1985. This Act was enforced in 1985 and added the Anti-Defection Law in the 10</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rtl w:val="0"/>
        </w:rPr>
        <w:t xml:space="preserve"> Schedule of the Indian Constitution. Both the Parliament and State Legislatures are covered under this law.</w:t>
      </w:r>
    </w:p>
    <w:p w:rsidR="00000000" w:rsidDel="00000000" w:rsidP="00000000" w:rsidRDefault="00000000" w:rsidRPr="00000000" w14:paraId="00000017">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After the enforcement, the Anti-Defection Law underwent many amendments to secure the stability of the Government. As per Rule 6 of the 10</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rtl w:val="0"/>
        </w:rPr>
        <w:t xml:space="preserve"> Schedule, the Speaker of the House has been give wide powers to decide on disqualification of the members on the grounds of defection. The amendments extended the time period for the Speaker of the House to decide on disqualification petition from three months to six months.</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Significance and Analysis of Anti-Defection Law </w:t>
      </w:r>
    </w:p>
    <w:p w:rsidR="00000000" w:rsidDel="00000000" w:rsidP="00000000" w:rsidRDefault="00000000" w:rsidRPr="00000000" w14:paraId="0000001A">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need for an Anti-Defection Law is to maintain stability among the administration. Its aim was to prevent the Representatives (MPs &amp; MLAs) from switching their existing parties and bans them as punishment.</w:t>
      </w:r>
    </w:p>
    <w:p w:rsidR="00000000" w:rsidDel="00000000" w:rsidP="00000000" w:rsidRDefault="00000000" w:rsidRPr="00000000" w14:paraId="0000001B">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political parties are proposed to unite and minimize the probability of political apathy. Parliamentarians are motivated to stay united and work in a disciplined manner. This law encourages the party members to associate with their party. Defections have an impact on the development and governance of the State.</w:t>
      </w:r>
    </w:p>
    <w:p w:rsidR="00000000" w:rsidDel="00000000" w:rsidP="00000000" w:rsidRDefault="00000000" w:rsidRPr="00000000" w14:paraId="0000001C">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Three situations where a Representative can switch political party are mentioned in India’s Anti-defection Law:</w:t>
      </w:r>
    </w:p>
    <w:p w:rsidR="00000000" w:rsidDel="00000000" w:rsidP="00000000" w:rsidRDefault="00000000" w:rsidRPr="00000000" w14:paraId="0000001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Voluntary surrender</w:t>
      </w:r>
      <w:r w:rsidDel="00000000" w:rsidR="00000000" w:rsidRPr="00000000">
        <w:rPr>
          <w:rtl w:val="0"/>
        </w:rPr>
      </w:r>
    </w:p>
    <w:p w:rsidR="00000000" w:rsidDel="00000000" w:rsidP="00000000" w:rsidRDefault="00000000" w:rsidRPr="00000000" w14:paraId="0000001E">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first desertion happens when elected representative leaves that party ‘Voluntarily’ and votes against that party. They are excluded from their seats. Rule 2(1)(a) of the 10</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rtl w:val="0"/>
        </w:rPr>
        <w:t xml:space="preserve"> Schedule mentions that the member of the House would be disqualified from the party if he voluntarily surrenders his membership.</w:t>
      </w:r>
    </w:p>
    <w:p w:rsidR="00000000" w:rsidDel="00000000" w:rsidP="00000000" w:rsidRDefault="00000000" w:rsidRPr="00000000" w14:paraId="0000001F">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w:t>
      </w:r>
      <w:r w:rsidDel="00000000" w:rsidR="00000000" w:rsidRPr="00000000">
        <w:rPr>
          <w:rFonts w:ascii="Times New Roman" w:cs="Times New Roman" w:eastAsia="Times New Roman" w:hAnsi="Times New Roman"/>
          <w:b w:val="1"/>
          <w:i w:val="1"/>
          <w:sz w:val="24"/>
          <w:szCs w:val="24"/>
          <w:rtl w:val="0"/>
        </w:rPr>
        <w:t xml:space="preserve">Rajendra Singh Rana v. Swami Prasad Maurya and Others,</w:t>
      </w:r>
      <w:r w:rsidDel="00000000" w:rsidR="00000000" w:rsidRPr="00000000">
        <w:rPr>
          <w:rFonts w:ascii="Times New Roman" w:cs="Times New Roman" w:eastAsia="Times New Roman" w:hAnsi="Times New Roman"/>
          <w:i w:val="1"/>
          <w:sz w:val="24"/>
          <w:szCs w:val="24"/>
          <w:vertAlign w:val="superscript"/>
        </w:rPr>
        <w:footnoteReference w:customMarkFollows="0" w:id="6"/>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case the definition was broadened to include “voluntarily giving up of the membership”. In this case it was decided that an elected party member’s letter to the governor asking him to contact the head of the opposition party in order to form a government would be considered an act of voluntary resignation from the party in which the member is elected.</w:t>
      </w:r>
    </w:p>
    <w:p w:rsidR="00000000" w:rsidDel="00000000" w:rsidP="00000000" w:rsidRDefault="00000000" w:rsidRPr="00000000" w14:paraId="0000002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Independent Participants</w:t>
      </w:r>
      <w:r w:rsidDel="00000000" w:rsidR="00000000" w:rsidRPr="00000000">
        <w:rPr>
          <w:rtl w:val="0"/>
        </w:rPr>
      </w:r>
    </w:p>
    <w:p w:rsidR="00000000" w:rsidDel="00000000" w:rsidP="00000000" w:rsidRDefault="00000000" w:rsidRPr="00000000" w14:paraId="00000021">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a candidate wins a seat in the legislature independently and then joins a political party, their seat is resigned.</w:t>
      </w:r>
    </w:p>
    <w:p w:rsidR="00000000" w:rsidDel="00000000" w:rsidP="00000000" w:rsidRDefault="00000000" w:rsidRPr="00000000" w14:paraId="00000022">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w:t>
      </w:r>
      <w:r w:rsidDel="00000000" w:rsidR="00000000" w:rsidRPr="00000000">
        <w:rPr>
          <w:rFonts w:ascii="Times New Roman" w:cs="Times New Roman" w:eastAsia="Times New Roman" w:hAnsi="Times New Roman"/>
          <w:b w:val="1"/>
          <w:i w:val="1"/>
          <w:sz w:val="24"/>
          <w:szCs w:val="24"/>
          <w:rtl w:val="0"/>
        </w:rPr>
        <w:t xml:space="preserve">Balchandra L. Jarkiholi Vs. B.S. Yeddyurappa (2010)</w:t>
      </w:r>
      <w:r w:rsidDel="00000000" w:rsidR="00000000" w:rsidRPr="00000000">
        <w:rPr>
          <w:rFonts w:ascii="Times New Roman" w:cs="Times New Roman" w:eastAsia="Times New Roman" w:hAnsi="Times New Roman"/>
          <w:b w:val="1"/>
          <w:i w:val="1"/>
          <w:sz w:val="24"/>
          <w:szCs w:val="24"/>
          <w:vertAlign w:val="superscript"/>
        </w:rPr>
        <w:footnoteReference w:customMarkFollows="0" w:id="7"/>
      </w:r>
      <w:r w:rsidDel="00000000" w:rsidR="00000000" w:rsidRPr="00000000">
        <w:rPr>
          <w:rFonts w:ascii="Times New Roman" w:cs="Times New Roman" w:eastAsia="Times New Roman" w:hAnsi="Times New Roman"/>
          <w:sz w:val="24"/>
          <w:szCs w:val="24"/>
          <w:rtl w:val="0"/>
        </w:rPr>
        <w:t xml:space="preserve">, the Supreme Court decided that MLAs who remain independent but join the Ministry in a coalition government without aligning with the prevailing party will not forfeit their independence. Therefore, being a member of the Council of Ministers is not grounds for rejection one.</w:t>
      </w:r>
    </w:p>
    <w:p w:rsidR="00000000" w:rsidDel="00000000" w:rsidP="00000000" w:rsidRDefault="00000000" w:rsidRPr="00000000" w14:paraId="0000002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MPs who have been nominated</w:t>
      </w:r>
      <w:r w:rsidDel="00000000" w:rsidR="00000000" w:rsidRPr="00000000">
        <w:rPr>
          <w:rtl w:val="0"/>
        </w:rPr>
      </w:r>
    </w:p>
    <w:p w:rsidR="00000000" w:rsidDel="00000000" w:rsidP="00000000" w:rsidRDefault="00000000" w:rsidRPr="00000000" w14:paraId="00000024">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is lawful for them to become members of a political party after six of selection. If they later join a party, they run the risk of losing their seat in the House.</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Anti-Defection Law and the Indian Constitution</w:t>
      </w:r>
    </w:p>
    <w:p w:rsidR="00000000" w:rsidDel="00000000" w:rsidP="00000000" w:rsidRDefault="00000000" w:rsidRPr="00000000" w14:paraId="00000027">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Anti-Defection Law was added to the Indian Constitution in 1985 by the 52</w:t>
      </w:r>
      <w:r w:rsidDel="00000000" w:rsidR="00000000" w:rsidRPr="00000000">
        <w:rPr>
          <w:rFonts w:ascii="Times New Roman" w:cs="Times New Roman" w:eastAsia="Times New Roman" w:hAnsi="Times New Roman"/>
          <w:sz w:val="24"/>
          <w:szCs w:val="24"/>
          <w:vertAlign w:val="superscript"/>
          <w:rtl w:val="0"/>
        </w:rPr>
        <w:t xml:space="preserve">nd</w:t>
      </w:r>
      <w:r w:rsidDel="00000000" w:rsidR="00000000" w:rsidRPr="00000000">
        <w:rPr>
          <w:rFonts w:ascii="Times New Roman" w:cs="Times New Roman" w:eastAsia="Times New Roman" w:hAnsi="Times New Roman"/>
          <w:sz w:val="24"/>
          <w:szCs w:val="24"/>
          <w:rtl w:val="0"/>
        </w:rPr>
        <w:t xml:space="preserve"> Amendment Act of 1985 as the 10</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rtl w:val="0"/>
        </w:rPr>
        <w:t xml:space="preserve"> Schedule. By penalizing officials who changed political parties, the Law aims to preserve political stability. Laws on defection also target to strengthen ties and loyalty among the party members. This is achieved by ensuring that Members of Parliament selected, based on a political party’s standing, base of support and platforms adhere to the party’s values.</w:t>
      </w:r>
    </w:p>
    <w:p w:rsidR="00000000" w:rsidDel="00000000" w:rsidP="00000000" w:rsidRDefault="00000000" w:rsidRPr="00000000" w14:paraId="00000028">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Schedule of Indian Constitution</w:t>
      </w:r>
    </w:p>
    <w:p w:rsidR="00000000" w:rsidDel="00000000" w:rsidP="00000000" w:rsidRDefault="00000000" w:rsidRPr="00000000" w14:paraId="00000029">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Schedule of Indian Constitution</w:t>
      </w:r>
    </w:p>
    <w:p w:rsidR="00000000" w:rsidDel="00000000" w:rsidP="00000000" w:rsidRDefault="00000000" w:rsidRPr="00000000" w14:paraId="0000002A">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Schedule of Indian Constitution</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Constitutional Validation</w:t>
      </w:r>
    </w:p>
    <w:p w:rsidR="00000000" w:rsidDel="00000000" w:rsidP="00000000" w:rsidRDefault="00000000" w:rsidRPr="00000000" w14:paraId="0000002D">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have been several challenges to the Anti-Defection law based on constitutional issues. Yet, in a number of noteworthy decisions, the Supreme Court has upheld the constitutionality of the statute.</w:t>
      </w:r>
    </w:p>
    <w:p w:rsidR="00000000" w:rsidDel="00000000" w:rsidP="00000000" w:rsidRDefault="00000000" w:rsidRPr="00000000" w14:paraId="0000002E">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Another reason, the law has been challenged for violating the federal character of the Constitution is the Center’s authority to nullify elected representatives. However because the Act only addresses the disqualification of elected officials for defecting and leaves State Legislature’s authority unchanged, the Supreme Court decided that it was not in breach of the federal structure of the Constitution.</w:t>
      </w:r>
    </w:p>
    <w:p w:rsidR="00000000" w:rsidDel="00000000" w:rsidP="00000000" w:rsidRDefault="00000000" w:rsidRPr="00000000" w14:paraId="000000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Committees</w:t>
      </w:r>
    </w:p>
    <w:p w:rsidR="00000000" w:rsidDel="00000000" w:rsidP="00000000" w:rsidRDefault="00000000" w:rsidRPr="00000000" w14:paraId="00000030">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Anti-Defection Law has established a number of committees. The committees were instituted to superior gasp the law.</w:t>
      </w:r>
    </w:p>
    <w:p w:rsidR="00000000" w:rsidDel="00000000" w:rsidP="00000000" w:rsidRDefault="00000000" w:rsidRPr="00000000" w14:paraId="00000031">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rFonts w:ascii="Times New Roman" w:cs="Times New Roman" w:eastAsia="Times New Roman" w:hAnsi="Times New Roman"/>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Dinesh Goswami Committee on Electoral Reforms (1990)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only circumstances in which an exception should be made are (i) when a member voluntarily leaves their political party and resigns, or (ii) when they stop voting or cast votes against the motion of no confidence or the whip. The President or Governor should decide whether to disqualify someone in order to persuade the Election Commission.</w:t>
      </w:r>
    </w:p>
    <w:p w:rsidR="00000000" w:rsidDel="00000000" w:rsidP="00000000" w:rsidRDefault="00000000" w:rsidRPr="00000000" w14:paraId="00000032">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rFonts w:ascii="Times New Roman" w:cs="Times New Roman" w:eastAsia="Times New Roman" w:hAnsi="Times New Roman"/>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Law Commission (170</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Report, 1999)</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Termination of disqualifying clauses acquired from coalition breaches is recommended. When the government's safety is in jeopardy, political parties ought to set aside the use of switching.</w:t>
      </w:r>
    </w:p>
    <w:p w:rsidR="00000000" w:rsidDel="00000000" w:rsidP="00000000" w:rsidRDefault="00000000" w:rsidRPr="00000000" w14:paraId="00000033">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rFonts w:ascii="Times New Roman" w:cs="Times New Roman" w:eastAsia="Times New Roman" w:hAnsi="Times New Roman"/>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Election Commission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When the President or the Governor must make extraordinary judgments as outlined in the Tenth Schedule, they must abide by the Election Commission's obligatory recommendations.</w:t>
      </w:r>
    </w:p>
    <w:p w:rsidR="00000000" w:rsidDel="00000000" w:rsidP="00000000" w:rsidRDefault="00000000" w:rsidRPr="00000000" w14:paraId="00000034">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rFonts w:ascii="Times New Roman" w:cs="Times New Roman" w:eastAsia="Times New Roman" w:hAnsi="Times New Roman"/>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Haleem Committee (1998)</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appropriateness of the terms "political party" and "voluntarily giving up political party membership" was questioned. There will be limitations, such the members being harshly removed from their positions representing the government.</w:t>
      </w:r>
    </w:p>
    <w:p w:rsidR="00000000" w:rsidDel="00000000" w:rsidP="00000000" w:rsidRDefault="00000000" w:rsidRPr="00000000" w14:paraId="00000035">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rFonts w:ascii="Times New Roman" w:cs="Times New Roman" w:eastAsia="Times New Roman" w:hAnsi="Times New Roman"/>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Constitution Review Commission (2002)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committee proposed prohibiting the defectors from pursuing any political or public position. Voting against the government by a defector ought to be invalid.</w:t>
      </w:r>
    </w:p>
    <w:p w:rsidR="00000000" w:rsidDel="00000000" w:rsidP="00000000" w:rsidRDefault="00000000" w:rsidRPr="00000000" w14:paraId="0000003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Provisions</w:t>
      </w:r>
    </w:p>
    <w:p w:rsidR="00000000" w:rsidDel="00000000" w:rsidP="00000000" w:rsidRDefault="00000000" w:rsidRPr="00000000" w14:paraId="00000037">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Indian Constitution’s 10</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rtl w:val="0"/>
        </w:rPr>
        <w:t xml:space="preserve"> Schedule includes a number of new laws. The grounds that could lead to the candidates being exempted are:</w:t>
      </w:r>
    </w:p>
    <w:p w:rsidR="00000000" w:rsidDel="00000000" w:rsidP="00000000" w:rsidRDefault="00000000" w:rsidRPr="00000000" w14:paraId="0000003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the elected political party member leaves on their own autonomy, if the independently elected member joins with any party.</w:t>
      </w:r>
    </w:p>
    <w:p w:rsidR="00000000" w:rsidDel="00000000" w:rsidP="00000000" w:rsidRDefault="00000000" w:rsidRPr="00000000" w14:paraId="0000003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a politician casts a ballot against his own party.</w:t>
      </w:r>
    </w:p>
    <w:p w:rsidR="00000000" w:rsidDel="00000000" w:rsidP="00000000" w:rsidRDefault="00000000" w:rsidRPr="00000000" w14:paraId="0000003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Any member who has been deserted may be disentitled by the Speaker of the House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Pr>
        <w:footnoteReference w:customMarkFollows="0" w:id="8"/>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Amendments</w:t>
      </w:r>
    </w:p>
    <w:p w:rsidR="00000000" w:rsidDel="00000000" w:rsidP="00000000" w:rsidRDefault="00000000" w:rsidRPr="00000000" w14:paraId="0000003C">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Since it was first proposed,</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Anti-Defection law has undergone numerous amendments to address a number of problems and weakness. The following are the specifics of each law amendment:</w:t>
      </w: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3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The 52</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superscript"/>
          <w:rtl w:val="0"/>
        </w:rPr>
        <w:t xml:space="preserve">nd</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Amendment Act, 1985:</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67" w:right="567"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India’s 52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Amendment Act established the country’s Anti-Defection law. The act modifying the Constitution included the Tenth Schedule, which outlines the procedures for disqualifying elected officials for defection.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Pr>
        <w:footnoteReference w:customMarkFollows="0" w:id="9"/>
      </w:r>
      <w:r w:rsidDel="00000000" w:rsidR="00000000" w:rsidRPr="00000000">
        <w:rPr>
          <w:rtl w:val="0"/>
        </w:rPr>
      </w:r>
    </w:p>
    <w:p w:rsidR="00000000" w:rsidDel="00000000" w:rsidP="00000000" w:rsidRDefault="00000000" w:rsidRPr="00000000" w14:paraId="0000003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The 61</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superscript"/>
          <w:rtl w:val="0"/>
        </w:rPr>
        <w:t xml:space="preserve">st</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Amendment Act, 1988</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67" w:right="567"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61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Amendment Act allowed political parties to unite without losing their eligibility by changing the 10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Schedule. This modification was made to prevent political parties from misusing the legislation to remove elected persons from office who desired to join another party.</w:t>
      </w:r>
    </w:p>
    <w:p w:rsidR="00000000" w:rsidDel="00000000" w:rsidP="00000000" w:rsidRDefault="00000000" w:rsidRPr="00000000" w14:paraId="0000004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The 65</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Amendment Act, 1991</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67" w:right="567"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65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Amendment Act’s modifications to the 10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Schedule made it feasible for political parties to split apart without losing their eligibility. The purpose of this amendment is to prevent political parties from misusing the law to remove elected persons from office who wish to do so.</w:t>
      </w:r>
    </w:p>
    <w:p w:rsidR="00000000" w:rsidDel="00000000" w:rsidP="00000000" w:rsidRDefault="00000000" w:rsidRPr="00000000" w14:paraId="0000004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The 91</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superscript"/>
          <w:rtl w:val="0"/>
        </w:rPr>
        <w:t xml:space="preserve">st</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Amendment Act, 2003</w:t>
      </w:r>
    </w:p>
    <w:p w:rsidR="00000000" w:rsidDel="00000000" w:rsidP="00000000" w:rsidRDefault="00000000" w:rsidRPr="00000000" w14:paraId="00000044">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91</w:t>
      </w:r>
      <w:r w:rsidDel="00000000" w:rsidR="00000000" w:rsidRPr="00000000">
        <w:rPr>
          <w:rFonts w:ascii="Times New Roman" w:cs="Times New Roman" w:eastAsia="Times New Roman" w:hAnsi="Times New Roman"/>
          <w:sz w:val="24"/>
          <w:szCs w:val="24"/>
          <w:vertAlign w:val="superscript"/>
          <w:rtl w:val="0"/>
        </w:rPr>
        <w:t xml:space="preserve">st</w:t>
      </w:r>
      <w:r w:rsidDel="00000000" w:rsidR="00000000" w:rsidRPr="00000000">
        <w:rPr>
          <w:rFonts w:ascii="Times New Roman" w:cs="Times New Roman" w:eastAsia="Times New Roman" w:hAnsi="Times New Roman"/>
          <w:sz w:val="24"/>
          <w:szCs w:val="24"/>
          <w:rtl w:val="0"/>
        </w:rPr>
        <w:t xml:space="preserve"> Amendment Act amended Article 191 of the Constitution to State that elected officials will lose their positions if they defect from their party or break party policies. This amendment aims to prevent elected officials from leaving their party in order to evade the Anti-Defection law’s disqualification.</w:t>
      </w:r>
    </w:p>
    <w:p w:rsidR="00000000" w:rsidDel="00000000" w:rsidP="00000000" w:rsidRDefault="00000000" w:rsidRPr="00000000" w14:paraId="00000045">
      <w:pPr>
        <w:spacing w:after="20" w:before="20" w:line="360" w:lineRule="auto"/>
        <w:ind w:left="567" w:right="567" w:firstLine="0"/>
        <w:jc w:val="both"/>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46">
      <w:pPr>
        <w:spacing w:after="20" w:before="20" w:line="360" w:lineRule="auto"/>
        <w:ind w:left="567" w:right="567" w:firstLine="0"/>
        <w:jc w:val="both"/>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u w:val="single"/>
          <w:rtl w:val="0"/>
        </w:rPr>
        <w:t xml:space="preserve">Affairs</w:t>
      </w:r>
    </w:p>
    <w:p w:rsidR="00000000" w:rsidDel="00000000" w:rsidP="00000000" w:rsidRDefault="00000000" w:rsidRPr="00000000" w14:paraId="00000047">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Undermines the Concept of Democracy: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By limiting lawmakers' freedom of speech and expression and holding them more accountable to their party leaders than to the electorate, it erodes both representative and parliamentary democracy. </w:t>
      </w:r>
    </w:p>
    <w:p w:rsidR="00000000" w:rsidDel="00000000" w:rsidP="00000000" w:rsidRDefault="00000000" w:rsidRPr="00000000" w14:paraId="0000004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567" w:right="567" w:hanging="283"/>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Lacks a deadline: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It gives the presiding officers of the houses, who can be biased or manipulated by political pressure, the authority to dismiss members without offering a prompt and transparent process for determining cases of defection.</w:t>
      </w:r>
    </w:p>
    <w:p w:rsidR="00000000" w:rsidDel="00000000" w:rsidP="00000000" w:rsidRDefault="00000000" w:rsidRPr="00000000" w14:paraId="00000049">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Keisham Meghachandra Singh vs. The Hon'ble Speaker Manipur Legislative Assembly &amp; Ors (2020)</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superscript"/>
        </w:rPr>
        <w:footnoteReference w:customMarkFollows="0" w:id="10"/>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Supreme Court nevertheless issued a rule that, barring unusual circumstances, speakers of assemblies and the parliament must decide expulsion petitions within three months.</w:t>
      </w:r>
    </w:p>
    <w:p w:rsidR="00000000" w:rsidDel="00000000" w:rsidP="00000000" w:rsidRDefault="00000000" w:rsidRPr="00000000" w14:paraId="0000004A">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60" w:lineRule="auto"/>
        <w:ind w:left="567" w:right="567" w:hanging="283"/>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Still Permits Defection: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If a group of people makes up at least two-thirds of the original party, they are free to leave and join another without facing consequences. This compromises the stability and integrity of the democratic system by opening the door for shady and immoral party mergers and splits. </w:t>
      </w:r>
    </w:p>
    <w:p w:rsidR="00000000" w:rsidDel="00000000" w:rsidP="00000000" w:rsidRDefault="00000000" w:rsidRPr="00000000" w14:paraId="0000004B">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this sense, it promotes the "horse-trading," or trading in and out of lawmakers.</w:t>
      </w:r>
    </w:p>
    <w:p w:rsidR="00000000" w:rsidDel="00000000" w:rsidP="00000000" w:rsidRDefault="00000000" w:rsidRPr="00000000" w14:paraId="0000004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tabs>
          <w:tab w:val="left" w:leader="none" w:pos="709"/>
        </w:tabs>
        <w:spacing w:after="0" w:before="0" w:line="360" w:lineRule="auto"/>
        <w:ind w:left="567" w:right="567" w:hanging="283"/>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Doesn't Address the Root Cause: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Issues such a lack of intra-party democracy, corruption, and electoral fraud constitute some of the core causes of defection that are not treated. Furthermore, it doesn't stop the parties from luring or welcoming the defectors, therefore it doesn't stop the occurrence of defection.</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Provocations faced</w:t>
      </w:r>
    </w:p>
    <w:p w:rsidR="00000000" w:rsidDel="00000000" w:rsidP="00000000" w:rsidRDefault="00000000" w:rsidRPr="00000000" w14:paraId="0000004F">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52nd Amendment to the Indian Constitution was ratified in 1985 in response to the problem of defection in the country's political system, and it introduced anti-defection laws. To prevent public personnel from abruptly changing political parties or allegiances, the rule was implemented. But over time, the Act has run into a lot of problems and criticisms. </w:t>
      </w:r>
    </w:p>
    <w:p w:rsidR="00000000" w:rsidDel="00000000" w:rsidP="00000000" w:rsidRDefault="00000000" w:rsidRPr="00000000" w14:paraId="00000050">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Indian Constitution's Article 19(1)(a) protects the right to freedom of speech and expression, which the anti-defection legislation is said to have infringed. MPs and MLAs' freedom of expression and conscience are restricted by the legislation, which mandates them to vote in accordance with the party whips issued by their respective parties.</w:t>
      </w:r>
    </w:p>
    <w:p w:rsidR="00000000" w:rsidDel="00000000" w:rsidP="00000000" w:rsidRDefault="00000000" w:rsidRPr="00000000" w14:paraId="00000051">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law also hinders the member's capacity to function as an effective lawmaker. Prohibits changing commitments, weakening the government's responsibility. A senator in the parliament holding a party seat is reduced to a mere legislative unit in the House of Representatives.</w:t>
      </w:r>
    </w:p>
    <w:p w:rsidR="00000000" w:rsidDel="00000000" w:rsidP="00000000" w:rsidRDefault="00000000" w:rsidRPr="00000000" w14:paraId="00000052">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Limitations on politicians' involvement in other parties provide additional challenges. For a list of the challenges with the Anti-Defection Law, see the concerns below. It infringes on party members' right to freedom of speech and expression by silencing debate among them.</w:t>
      </w:r>
    </w:p>
    <w:p w:rsidR="00000000" w:rsidDel="00000000" w:rsidP="00000000" w:rsidRDefault="00000000" w:rsidRPr="00000000" w14:paraId="0000005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Breach of freedom of speech and expression: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Indian Constitution's Article 19(1)(a) protects the fundamental right to freedom of speech and expression, which the anti-defection legislation is said to have breached.</w:t>
      </w:r>
    </w:p>
    <w:p w:rsidR="00000000" w:rsidDel="00000000" w:rsidP="00000000" w:rsidRDefault="00000000" w:rsidRPr="00000000" w14:paraId="0000005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Lack of accountability and transparency: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One area of criticism for the anti-defection act is its lack of accountability and openness. The member of the ruling party who serves as the House presiding officer makes the decision to legally remove an MP or MLA. This could result in biased and unjust decisions that damage the legitimacy of the legal system.</w:t>
      </w:r>
    </w:p>
    <w:p w:rsidR="00000000" w:rsidDel="00000000" w:rsidP="00000000" w:rsidRDefault="00000000" w:rsidRPr="00000000" w14:paraId="0000005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Abuse of the law:</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Political parties have abused the anti-defection provision to influence MPs' and MLAs' defection in order to promote their own agendas. The provision has been utilized to attract MPs and MLAs away from other parties by oﬀering them cabinet jobs, money, and other promotions</w:t>
      </w:r>
    </w:p>
    <w:p w:rsidR="00000000" w:rsidDel="00000000" w:rsidP="00000000" w:rsidRDefault="00000000" w:rsidRPr="00000000" w14:paraId="0000005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Ambiguity in the law:</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anti-defection law is allegedly ambiguous and open to numerous interpretations. Exploitation and misuse are conceivable due to the legislation's vagueness over what constitutes an effective basis to alter political allegiance.</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567" w:right="567"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Other Countries dealing with Defections</w:t>
      </w:r>
    </w:p>
    <w:p w:rsidR="00000000" w:rsidDel="00000000" w:rsidP="00000000" w:rsidRDefault="00000000" w:rsidRPr="00000000" w14:paraId="0000005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Political Defections in the UK are not forbidden by law, but defectors may have to deal with the consequences from their Constituents. Outcomes of the defection may comprise of losing party benefits, facing disciplinary actions and risking legal challenges.</w:t>
      </w:r>
    </w:p>
    <w:p w:rsidR="00000000" w:rsidDel="00000000" w:rsidP="00000000" w:rsidRDefault="00000000" w:rsidRPr="00000000" w14:paraId="0000005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USA has insufficiency in a law against political defections. Rare defections can arise for conceptual and diplomatic reasons. Counteraction from the constituents and former parties may practicable but defectors may also be supported. Re-election under the new political party may confer both challenges and opportunities.</w:t>
      </w:r>
    </w:p>
    <w:p w:rsidR="00000000" w:rsidDel="00000000" w:rsidP="00000000" w:rsidRDefault="00000000" w:rsidRPr="00000000" w14:paraId="0000005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Bangladesh Constitution's Article 70 states that a member must vacate their position if they quit or vote against their party. The Speaker of the Election Commission refers the dispute.</w:t>
      </w:r>
    </w:p>
    <w:p w:rsidR="00000000" w:rsidDel="00000000" w:rsidP="00000000" w:rsidRDefault="00000000" w:rsidRPr="00000000" w14:paraId="0000005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According to Section 40 of the Kenyan Constitution, a member of a party must vacate their seat upon resignation. The Speaker makes the announcement, and the member has the option to file an appeal with the High Court.</w:t>
      </w:r>
    </w:p>
    <w:p w:rsidR="00000000" w:rsidDel="00000000" w:rsidP="00000000" w:rsidRDefault="00000000" w:rsidRPr="00000000" w14:paraId="0000005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If a member resigns or is expelled from his party, he is required by Article 46 of the Singapore Constitution to relinquish his seat. According to Article 48, the Parliament determines whether to disqualify a member.</w:t>
      </w:r>
    </w:p>
    <w:p w:rsidR="00000000" w:rsidDel="00000000" w:rsidP="00000000" w:rsidRDefault="00000000" w:rsidRPr="00000000" w14:paraId="0000005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According to Section 47 of the South African Constitution, a member of Parliament will be ejected if he stops being a part of the party that nominated him.</w:t>
      </w:r>
    </w:p>
    <w:p w:rsidR="00000000" w:rsidDel="00000000" w:rsidP="00000000" w:rsidRDefault="00000000" w:rsidRPr="00000000" w14:paraId="0000005F">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0">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JUDICIAL DECISIONS:</w:t>
      </w:r>
    </w:p>
    <w:p w:rsidR="00000000" w:rsidDel="00000000" w:rsidP="00000000" w:rsidRDefault="00000000" w:rsidRPr="00000000" w14:paraId="0000006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In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Kihoto Hollohan vs. Zachillhu</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superscript"/>
        </w:rPr>
        <w:footnoteReference w:customMarkFollows="0" w:id="11"/>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Indian Supreme Court upheld the importance of the Anti-Defection Law and ruled that it does not violate the legislators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Right to Freedom of Speech and Expression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Tenth Schedule is constitutionally valid. And this provision is valid. The High Courts and the Supreme Court may exercise Judicial Review but it should not cover any stage prior to the decision made by the Speaker of the House.</w:t>
      </w:r>
    </w:p>
    <w:p w:rsidR="00000000" w:rsidDel="00000000" w:rsidP="00000000" w:rsidRDefault="00000000" w:rsidRPr="00000000" w14:paraId="00000062">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Keshavannanda Bharati and Others v. State of Kerela and Another</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superscript"/>
        </w:rPr>
        <w:footnoteReference w:customMarkFollows="0" w:id="12"/>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judicial review was held to be a basic feature of the Constitution and it cannot be amended as to breach its basic structure.</w:t>
      </w:r>
    </w:p>
    <w:p w:rsidR="00000000" w:rsidDel="00000000" w:rsidP="00000000" w:rsidRDefault="00000000" w:rsidRPr="00000000" w14:paraId="00000063">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Mannadi Satyanarayan Reddy v. Andhra Pradesh Legislative Assemble and Ors</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superscript"/>
        </w:rPr>
        <w:footnoteReference w:customMarkFollows="0" w:id="13"/>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Andhra Pradesh High Court had to rule on whether the Speaker has the authority to determine if a legislator is a member of a specific legislative party while executing her authority. The Court held that a Speaker could make this decision and stated that he should be authorized to do so if the decision about a member’s disqualification hinged on determining whose political party the member was affiliated with and which party had put him up for election. “Nothing in paragraphs 1, 2 and 6 of the 10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Schedule fetters exercise of jurisdiction by the Speaker to decide this question” the Court concluded.</w:t>
      </w:r>
    </w:p>
    <w:p w:rsidR="00000000" w:rsidDel="00000000" w:rsidP="00000000" w:rsidRDefault="00000000" w:rsidRPr="00000000" w14:paraId="0000006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0" w:before="0" w:line="360" w:lineRule="auto"/>
        <w:ind w:left="567" w:right="56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the 1994 case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Ravi S. Naik v. Union of India</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superscript"/>
        </w:rPr>
        <w:footnoteReference w:customMarkFollows="0" w:id="14"/>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dispute concerned the defection of Goa's Chief Minister, Ravi S. Naik. According to a Supreme Court ruling, a state governor cannot dismiss a chief minister without sufficient justification if the minister had defected, and the decision can be contested in court.</w:t>
      </w:r>
    </w:p>
    <w:p w:rsidR="00000000" w:rsidDel="00000000" w:rsidP="00000000" w:rsidRDefault="00000000" w:rsidRPr="00000000" w14:paraId="00000065">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6">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CONCLUSION AND SUGGESTIONS:</w:t>
      </w:r>
    </w:p>
    <w:p w:rsidR="00000000" w:rsidDel="00000000" w:rsidP="00000000" w:rsidRDefault="00000000" w:rsidRPr="00000000" w14:paraId="0000006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2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Resolving Procedural Issues:</w:t>
      </w:r>
    </w:p>
    <w:p w:rsidR="00000000" w:rsidDel="00000000" w:rsidP="00000000" w:rsidRDefault="00000000" w:rsidRPr="00000000" w14:paraId="00000068">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Redistributing Adjudication Power: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Speakers Of the House currently decide defection cases, which raises questions regarding political influence and bias. Impartiality might be improved by giving adjudication authority to a separate entity like the Election Commission.</w:t>
      </w:r>
      <w:r w:rsidDel="00000000" w:rsidR="00000000" w:rsidRPr="00000000">
        <w:rPr>
          <w:rtl w:val="0"/>
        </w:rPr>
      </w:r>
    </w:p>
    <w:p w:rsidR="00000000" w:rsidDel="00000000" w:rsidP="00000000" w:rsidRDefault="00000000" w:rsidRPr="00000000" w14:paraId="0000006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The 2</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superscript"/>
          <w:rtl w:val="0"/>
        </w:rPr>
        <w:t xml:space="preserve">nd</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ARC</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suggested that the President or Governor make the decision to disqualify members for defection, following the Election Commission’s recommendation.</w:t>
      </w:r>
      <w:r w:rsidDel="00000000" w:rsidR="00000000" w:rsidRPr="00000000">
        <w:rPr>
          <w:rtl w:val="0"/>
        </w:rPr>
      </w:r>
    </w:p>
    <w:p w:rsidR="00000000" w:rsidDel="00000000" w:rsidP="00000000" w:rsidRDefault="00000000" w:rsidRPr="00000000" w14:paraId="0000006A">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Time-Sensitive Decisions: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Establishing a rigid deadline for deciding defection cases would stop extended ambiguity and political scheming.</w:t>
      </w:r>
      <w:r w:rsidDel="00000000" w:rsidR="00000000" w:rsidRPr="00000000">
        <w:rPr>
          <w:rtl w:val="0"/>
        </w:rPr>
      </w:r>
    </w:p>
    <w:p w:rsidR="00000000" w:rsidDel="00000000" w:rsidP="00000000" w:rsidRDefault="00000000" w:rsidRPr="00000000" w14:paraId="0000006B">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Judicial Recourse: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certain situations, permitting direct appeals to the Supreme Court or High Courts may offer extra protection against arbitrary rulings.</w:t>
      </w: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440" w:right="567"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Enhancing Party Accountability:</w:t>
      </w:r>
    </w:p>
    <w:p w:rsidR="00000000" w:rsidDel="00000000" w:rsidP="00000000" w:rsidRDefault="00000000" w:rsidRPr="00000000" w14:paraId="0000006E">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Internal Democracy: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By enacting rules to uphold internal party democracy and transparency, lawmakers disenchantment may be lessened, which may in turn prevent defections spurred by internal party dissatisfaction.</w:t>
      </w:r>
      <w:r w:rsidDel="00000000" w:rsidR="00000000" w:rsidRPr="00000000">
        <w:rPr>
          <w:rtl w:val="0"/>
        </w:rPr>
      </w:r>
    </w:p>
    <w:p w:rsidR="00000000" w:rsidDel="00000000" w:rsidP="00000000" w:rsidRDefault="00000000" w:rsidRPr="00000000" w14:paraId="0000006F">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Reforms to Party Funding: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Increasing the accountability as well as openness of party funding could help reduce the influence of money power in politics, which can encourage defections.</w:t>
      </w:r>
      <w:r w:rsidDel="00000000" w:rsidR="00000000" w:rsidRPr="00000000">
        <w:rPr>
          <w:rtl w:val="0"/>
        </w:rPr>
      </w:r>
    </w:p>
    <w:p w:rsidR="00000000" w:rsidDel="00000000" w:rsidP="00000000" w:rsidRDefault="00000000" w:rsidRPr="00000000" w14:paraId="00000070">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Anti-Poaching Measures: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By prohibiting pr penalizing attempts to entice people to defect by offering them jobs and amenities, such actions may be stopped.</w:t>
      </w:r>
      <w:r w:rsidDel="00000000" w:rsidR="00000000" w:rsidRPr="00000000">
        <w:rPr>
          <w:rtl w:val="0"/>
        </w:rPr>
      </w:r>
    </w:p>
    <w:p w:rsidR="00000000" w:rsidDel="00000000" w:rsidP="00000000" w:rsidRDefault="00000000" w:rsidRPr="00000000" w14:paraId="00000071">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Balancing Stability and Accountability:</w:t>
      </w:r>
    </w:p>
    <w:p w:rsidR="00000000" w:rsidDel="00000000" w:rsidP="00000000" w:rsidRDefault="00000000" w:rsidRPr="00000000" w14:paraId="00000072">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Exempting Mergers: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Political restructuring could be promoted without jeopardizing stability if defections resulting from legitimate party mergers are exempted.</w:t>
      </w:r>
      <w:r w:rsidDel="00000000" w:rsidR="00000000" w:rsidRPr="00000000">
        <w:rPr>
          <w:rtl w:val="0"/>
        </w:rPr>
      </w:r>
    </w:p>
    <w:p w:rsidR="00000000" w:rsidDel="00000000" w:rsidP="00000000" w:rsidRDefault="00000000" w:rsidRPr="00000000" w14:paraId="00000073">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Public Interest Considerations: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Establishing a system to evaluate the public interest in defection situations and only permitting disqualification in circumstances where it clearly threatens the public welfare could achieve a balance between accountability and stability.</w:t>
      </w:r>
    </w:p>
    <w:p w:rsidR="00000000" w:rsidDel="00000000" w:rsidP="00000000" w:rsidRDefault="00000000" w:rsidRPr="00000000" w14:paraId="00000074">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20" w:before="0" w:line="360" w:lineRule="auto"/>
        <w:ind w:left="567" w:right="567" w:hanging="360"/>
        <w:jc w:val="both"/>
        <w:rPr>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Right to disagree: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Encouraging healthy debate and independent thought inside legislatures could be achieved by recognizing legislators Right to Disagree on particular subjects without leading to their disqualification.</w:t>
      </w:r>
    </w:p>
    <w:p w:rsidR="00000000" w:rsidDel="00000000" w:rsidP="00000000" w:rsidRDefault="00000000" w:rsidRPr="00000000" w14:paraId="00000075">
      <w:pPr>
        <w:spacing w:after="20" w:before="20" w:line="360" w:lineRule="auto"/>
        <w:ind w:left="567" w:right="56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By restricting political defections, the Indian Constitution’s Anti-Defection Law seeks to maintain democratic stability. Despite its significance, obstacles including limitations on lawmaker’s freedom of speech and procedural problems highlighting the need for reforms. The suggested actions are based on global experiences and seek to strike a balance between responsibility and stability. Acknowledging exceptions for public interest and party mergers, the legislation need to change to be relevant in India’s changing political setting and maintain a strong democracy. </w:t>
      </w:r>
    </w:p>
    <w:p w:rsidR="00000000" w:rsidDel="00000000" w:rsidP="00000000" w:rsidRDefault="00000000" w:rsidRPr="00000000" w14:paraId="00000076">
      <w:pPr>
        <w:spacing w:after="20" w:before="20" w:line="360" w:lineRule="auto"/>
        <w:ind w:right="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7">
      <w:pPr>
        <w:spacing w:after="20" w:before="20" w:line="360" w:lineRule="auto"/>
        <w:ind w:right="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8">
      <w:pPr>
        <w:spacing w:after="20" w:before="20" w:line="360" w:lineRule="auto"/>
        <w:ind w:right="567"/>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9">
      <w:pPr>
        <w:spacing w:after="20" w:before="20" w:line="360" w:lineRule="auto"/>
        <w:ind w:left="567" w:right="56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REFERENCES:</w:t>
      </w:r>
    </w:p>
    <w:p w:rsidR="00000000" w:rsidDel="00000000" w:rsidP="00000000" w:rsidRDefault="00000000" w:rsidRPr="00000000" w14:paraId="0000007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hyperlink r:id="rId7">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http://loksabhadocs.nic.in/Refinput</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7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hyperlink r:id="rId8">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http://www.researchgate.net/publication</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7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hyperlink r:id="rId9">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https://inidanculture.gov.in/reports-proceedings</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7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LARRDIS (Parliament Library and Reference, Research, Documentation And Information Service)</w:t>
      </w:r>
    </w:p>
    <w:p w:rsidR="00000000" w:rsidDel="00000000" w:rsidP="00000000" w:rsidRDefault="00000000" w:rsidRPr="00000000" w14:paraId="0000007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hyperlink r:id="rId10">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https://prsindia.org/theprsblog</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7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Case analysis of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Kihoto Hollohan vs. Zachillhu and others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AIR 1993 SC 412 </w:t>
      </w:r>
    </w:p>
    <w:p w:rsidR="00000000" w:rsidDel="00000000" w:rsidP="00000000" w:rsidRDefault="00000000" w:rsidRPr="00000000" w14:paraId="0000008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Case analysis of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Rajendra Singh Rana v. Swami Prasad Maurya and Others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AIR 2007 (4) SCC 270. </w:t>
      </w:r>
    </w:p>
    <w:p w:rsidR="00000000" w:rsidDel="00000000" w:rsidP="00000000" w:rsidRDefault="00000000" w:rsidRPr="00000000" w14:paraId="0000008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Balchandra L. Jarkiholi Vs. B.S. Yeddyurappa (2010) 7 SCC 1 </w:t>
      </w:r>
    </w:p>
    <w:p w:rsidR="00000000" w:rsidDel="00000000" w:rsidP="00000000" w:rsidRDefault="00000000" w:rsidRPr="00000000" w14:paraId="0000008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hyperlink r:id="rId11">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https://www.studyiq.com/articles</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0" distR="0">
            <wp:extent cx="5732145" cy="4051935"/>
            <wp:effectExtent b="0" l="0" r="0" t="0"/>
            <wp:docPr descr="0001-12885786765_20201109_211712_0000 (1).png" id="1" name="image2.png"/>
            <a:graphic>
              <a:graphicData uri="http://schemas.openxmlformats.org/drawingml/2006/picture">
                <pic:pic>
                  <pic:nvPicPr>
                    <pic:cNvPr descr="0001-12885786765_20201109_211712_0000 (1).png" id="0" name="image2.png"/>
                    <pic:cNvPicPr preferRelativeResize="0"/>
                  </pic:nvPicPr>
                  <pic:blipFill>
                    <a:blip r:embed="rId12"/>
                    <a:srcRect b="0" l="0" r="0" t="0"/>
                    <a:stretch>
                      <a:fillRect/>
                    </a:stretch>
                  </pic:blipFill>
                  <pic:spPr>
                    <a:xfrm>
                      <a:off x="0" y="0"/>
                      <a:ext cx="5732145" cy="4051935"/>
                    </a:xfrm>
                    <a:prstGeom prst="rect"/>
                    <a:ln/>
                  </pic:spPr>
                </pic:pic>
              </a:graphicData>
            </a:graphic>
          </wp:inline>
        </w:drawing>
      </w:r>
      <w:r w:rsidDel="00000000" w:rsidR="00000000" w:rsidRPr="00000000">
        <w:rPr>
          <w:rtl w:val="0"/>
        </w:rPr>
      </w:r>
    </w:p>
    <w:p w:rsidR="00000000" w:rsidDel="00000000" w:rsidP="00000000" w:rsidRDefault="00000000" w:rsidRPr="00000000" w14:paraId="0000008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52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Constitution Amendment Act of 1985 </w:t>
      </w:r>
    </w:p>
    <w:p w:rsidR="00000000" w:rsidDel="00000000" w:rsidP="00000000" w:rsidRDefault="00000000" w:rsidRPr="00000000" w14:paraId="0000008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Keisham Meghachandra Singh vs. The Hon'ble Speaker Manipur Legislative Assembly &amp; Ors (2020) </w:t>
      </w:r>
      <w:r w:rsidDel="00000000" w:rsidR="00000000" w:rsidRPr="00000000">
        <w:rPr>
          <w:rtl w:val="0"/>
        </w:rPr>
      </w:r>
    </w:p>
    <w:p w:rsidR="00000000" w:rsidDel="00000000" w:rsidP="00000000" w:rsidRDefault="00000000" w:rsidRPr="00000000" w14:paraId="0000008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G.C. Malhotra, Anti Defection Law in India (Lok Sabha Secretariate, 2005)</w:t>
      </w:r>
    </w:p>
    <w:p w:rsidR="00000000" w:rsidDel="00000000" w:rsidP="00000000" w:rsidRDefault="00000000" w:rsidRPr="00000000" w14:paraId="0000008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Keshavannanda Bharati and Others v. State of Kerela and Another, AIR (1973) 4 SCC 225. </w:t>
      </w:r>
    </w:p>
    <w:p w:rsidR="00000000" w:rsidDel="00000000" w:rsidP="00000000" w:rsidRDefault="00000000" w:rsidRPr="00000000" w14:paraId="0000008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Mannadi Satyanarayan Reddy v. Andhra Pradesh Legislative Assembly and Ors </w:t>
      </w:r>
    </w:p>
    <w:p w:rsidR="00000000" w:rsidDel="00000000" w:rsidP="00000000" w:rsidRDefault="00000000" w:rsidRPr="00000000" w14:paraId="0000008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 w:before="20" w:line="360" w:lineRule="auto"/>
        <w:ind w:left="567" w:right="567" w:hanging="360"/>
        <w:jc w:val="both"/>
        <w:rPr>
          <w:b w:val="0"/>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31f20"/>
          <w:sz w:val="24"/>
          <w:szCs w:val="24"/>
          <w:highlight w:val="white"/>
          <w:u w:val="none"/>
          <w:vertAlign w:val="baseline"/>
          <w:rtl w:val="0"/>
        </w:rPr>
        <w:t xml:space="preserve">Ravi S. Naik v. Union of India, 1994 AIR 1558</w:t>
      </w: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20" w:line="360" w:lineRule="auto"/>
        <w:ind w:left="567" w:right="567"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sectPr>
      <w:headerReference r:id="rId13" w:type="default"/>
      <w:headerReference r:id="rId14" w:type="first"/>
      <w:headerReference r:id="rId15" w:type="even"/>
      <w:footerReference r:id="rId16" w:type="default"/>
      <w:footerReference r:id="rId17" w:type="first"/>
      <w:footerReference r:id="rId18" w:type="even"/>
      <w:pgSz w:h="16839" w:w="11907" w:orient="portrait"/>
      <w:pgMar w:bottom="2269" w:top="1440" w:left="1440" w:right="1440" w:header="709" w:footer="709"/>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Cambria"/>
  <w:font w:name="Noto Sans Symbols"/>
  <w:font w:name="Courier New"/>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F">
    <w:pPr>
      <w:keepNext w:val="0"/>
      <w:keepLines w:val="0"/>
      <w:pageBreakBefore w:val="0"/>
      <w:widowControl w:val="1"/>
      <w:pBdr>
        <w:top w:color="622423" w:space="1" w:sz="24" w:val="single"/>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WWW.BRILLOPEDIA.NETPage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Researchgate.net, (last visited on August 13, 2024), </w:t>
      </w:r>
      <w:hyperlink r:id="rId1">
        <w:r w:rsidDel="00000000" w:rsidR="00000000" w:rsidRPr="00000000">
          <w:rPr>
            <w:rFonts w:ascii="Times New Roman" w:cs="Times New Roman" w:eastAsia="Times New Roman" w:hAnsi="Times New Roman"/>
            <w:b w:val="0"/>
            <w:i w:val="0"/>
            <w:smallCaps w:val="0"/>
            <w:strike w:val="0"/>
            <w:color w:val="0000ff"/>
            <w:sz w:val="20"/>
            <w:szCs w:val="20"/>
            <w:u w:val="single"/>
            <w:shd w:fill="auto" w:val="clear"/>
            <w:vertAlign w:val="baseline"/>
            <w:rtl w:val="0"/>
          </w:rPr>
          <w:t xml:space="preserve">http://www.researchgate.net/publication</w:t>
        </w:r>
      </w:hyperlink>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footnote>
  <w:footnote w:id="1">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Loksabhadocs.nic.in, (last visited on August 13, 2024), </w:t>
      </w:r>
      <w:hyperlink r:id="rId2">
        <w:r w:rsidDel="00000000" w:rsidR="00000000" w:rsidRPr="00000000">
          <w:rPr>
            <w:rFonts w:ascii="Times New Roman" w:cs="Times New Roman" w:eastAsia="Times New Roman" w:hAnsi="Times New Roman"/>
            <w:b w:val="0"/>
            <w:i w:val="0"/>
            <w:smallCaps w:val="0"/>
            <w:strike w:val="0"/>
            <w:color w:val="0000ff"/>
            <w:sz w:val="20"/>
            <w:szCs w:val="20"/>
            <w:u w:val="single"/>
            <w:shd w:fill="auto" w:val="clear"/>
            <w:vertAlign w:val="baseline"/>
            <w:rtl w:val="0"/>
          </w:rPr>
          <w:t xml:space="preserve">http://loksabhadocs.nic.in/Refinput</w:t>
        </w:r>
      </w:hyperlink>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footnote>
  <w:footnote w:id="2">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Indianculture.gov.in, (last visited on August 13, 2024), </w:t>
      </w:r>
      <w:hyperlink r:id="rId3">
        <w:r w:rsidDel="00000000" w:rsidR="00000000" w:rsidRPr="00000000">
          <w:rPr>
            <w:rFonts w:ascii="Calibri" w:cs="Calibri" w:eastAsia="Calibri" w:hAnsi="Calibri"/>
            <w:b w:val="0"/>
            <w:i w:val="0"/>
            <w:smallCaps w:val="0"/>
            <w:strike w:val="0"/>
            <w:color w:val="0000ff"/>
            <w:sz w:val="20"/>
            <w:szCs w:val="20"/>
            <w:u w:val="single"/>
            <w:shd w:fill="auto" w:val="clear"/>
            <w:vertAlign w:val="baseline"/>
            <w:rtl w:val="0"/>
          </w:rPr>
          <w:t xml:space="preserve">https://inidanculture.gov.in/reports-proceedings</w:t>
        </w:r>
      </w:hyperlink>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footnote>
  <w:footnote w:id="3">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LARRDIS (Parliament Library and Reference, Research, Documentation And Information Service)</w:t>
      </w:r>
    </w:p>
  </w:footnote>
  <w:footnote w:id="4">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Prsindia.org, (last visited on August 14, 2024), </w:t>
      </w:r>
      <w:hyperlink r:id="rId4">
        <w:r w:rsidDel="00000000" w:rsidR="00000000" w:rsidRPr="00000000">
          <w:rPr>
            <w:rFonts w:ascii="Times New Roman" w:cs="Times New Roman" w:eastAsia="Times New Roman" w:hAnsi="Times New Roman"/>
            <w:b w:val="0"/>
            <w:i w:val="0"/>
            <w:smallCaps w:val="0"/>
            <w:strike w:val="0"/>
            <w:color w:val="0000ff"/>
            <w:sz w:val="20"/>
            <w:szCs w:val="20"/>
            <w:u w:val="single"/>
            <w:shd w:fill="auto" w:val="clear"/>
            <w:vertAlign w:val="baseline"/>
            <w:rtl w:val="0"/>
          </w:rPr>
          <w:t xml:space="preserve">https://prsindia.org/theprsblog</w:t>
        </w:r>
      </w:hyperlink>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footnote>
  <w:footnote w:id="5">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Case analysis of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Kihoto Hollohan vs. Zachillhu and others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AIR 1993 SC 412(India)</w:t>
      </w:r>
    </w:p>
  </w:footnote>
  <w:footnote w:id="6">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Case analysis of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Rajendra Singh Rana v. Swami Prasad Maurya and Others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AIR 2007 (4) SCC 270 (India)</w:t>
      </w:r>
    </w:p>
  </w:footnote>
  <w:footnote w:id="7">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Balchandra L. Jarkiholi Vs. B.S. Yeddyurappa (2010) 7 SCC 1 (India)</w:t>
      </w:r>
      <w:r w:rsidDel="00000000" w:rsidR="00000000" w:rsidRPr="00000000">
        <w:rPr>
          <w:rtl w:val="0"/>
        </w:rPr>
      </w:r>
    </w:p>
  </w:footnote>
  <w:footnote w:id="8">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Studyiq.com, (last visited on August 15, 2024), </w:t>
      </w:r>
      <w:hyperlink r:id="rId5">
        <w:r w:rsidDel="00000000" w:rsidR="00000000" w:rsidRPr="00000000">
          <w:rPr>
            <w:rFonts w:ascii="Calibri" w:cs="Calibri" w:eastAsia="Calibri" w:hAnsi="Calibri"/>
            <w:b w:val="0"/>
            <w:i w:val="0"/>
            <w:smallCaps w:val="0"/>
            <w:strike w:val="0"/>
            <w:color w:val="0000ff"/>
            <w:sz w:val="20"/>
            <w:szCs w:val="20"/>
            <w:u w:val="single"/>
            <w:shd w:fill="auto" w:val="clear"/>
            <w:vertAlign w:val="baseline"/>
            <w:rtl w:val="0"/>
          </w:rPr>
          <w:t xml:space="preserve">https://www.studyiq.com/articles</w:t>
        </w:r>
      </w:hyperlink>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footnote>
  <w:footnote w:id="9">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52</w:t>
      </w:r>
      <w:r w:rsidDel="00000000" w:rsidR="00000000" w:rsidRPr="00000000">
        <w:rPr>
          <w:rFonts w:ascii="Calibri" w:cs="Calibri" w:eastAsia="Calibri" w:hAnsi="Calibri"/>
          <w:b w:val="0"/>
          <w:i w:val="0"/>
          <w:smallCaps w:val="0"/>
          <w:strike w:val="0"/>
          <w:color w:val="000000"/>
          <w:sz w:val="20"/>
          <w:szCs w:val="20"/>
          <w:u w:val="none"/>
          <w:shd w:fill="auto" w:val="clear"/>
          <w:vertAlign w:val="superscript"/>
          <w:rtl w:val="0"/>
        </w:rPr>
        <w:t xml:space="preserve">nd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Constitution Amendment Act of 1985 (India)</w:t>
      </w:r>
    </w:p>
  </w:footnote>
  <w:footnote w:id="10">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4"/>
          <w:szCs w:val="14"/>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Keisham Meghachandra Singh vs. The Hon'ble Speaker Manipur Legislative Assembly &amp; Ors (2020),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(India)</w:t>
      </w:r>
      <w:r w:rsidDel="00000000" w:rsidR="00000000" w:rsidRPr="00000000">
        <w:rPr>
          <w:rtl w:val="0"/>
        </w:rPr>
      </w:r>
    </w:p>
  </w:footnote>
  <w:footnote w:id="11">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G.C. Malhotra, Anti Defection Law in India (Lok Sabha Secretariate, 2005)</w:t>
      </w:r>
    </w:p>
  </w:footnote>
  <w:footnote w:id="12">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Keshavannanda Bharati and Others v. State of Kerela and Another, AIR (1973) 4 SCC 225, (India)</w:t>
      </w:r>
    </w:p>
  </w:footnote>
  <w:footnote w:id="13">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Mannadi Satyanarayan Reddy v. Andhra Pradesh Legislative Assembly and Ors decided on April 8, 2009, (India)</w:t>
      </w:r>
    </w:p>
  </w:footnote>
  <w:footnote w:id="14">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231f20"/>
          <w:sz w:val="20"/>
          <w:szCs w:val="20"/>
          <w:highlight w:val="white"/>
          <w:u w:val="none"/>
          <w:vertAlign w:val="baseline"/>
          <w:rtl w:val="0"/>
        </w:rPr>
        <w:t xml:space="preserve">Ravi S. Naik v. Union of India</w:t>
      </w:r>
      <w:r w:rsidDel="00000000" w:rsidR="00000000" w:rsidRPr="00000000">
        <w:rPr>
          <w:rFonts w:ascii="Times New Roman" w:cs="Times New Roman" w:eastAsia="Times New Roman" w:hAnsi="Times New Roman"/>
          <w:b w:val="0"/>
          <w:i w:val="0"/>
          <w:smallCaps w:val="0"/>
          <w:strike w:val="0"/>
          <w:color w:val="231f20"/>
          <w:sz w:val="20"/>
          <w:szCs w:val="20"/>
          <w:highlight w:val="white"/>
          <w:u w:val="none"/>
          <w:vertAlign w:val="baseline"/>
          <w:rtl w:val="0"/>
        </w:rPr>
        <w:t xml:space="preserve">, 1994 AIR 1558, (India)</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WordPictureWatermark1" style="position:absolute;width:306.0pt;height:288.0pt;rotation:0;z-index:-503316481;mso-position-horizontal-relative:margin;mso-position-horizontal:center;mso-position-vertical-relative:margin;mso-position-vertical:center;" alt="" type="#_x0000_t75">
          <v:imagedata blacklevel="22938f" cropbottom="0f" cropleft="0f" cropright="0f" croptop="0f" gain="19661f" r:id="rId1" o:title="image1.png"/>
        </v:shape>
      </w:pic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A">
    <w:pPr>
      <w:keepNext w:val="0"/>
      <w:keepLines w:val="0"/>
      <w:pageBreakBefore w:val="0"/>
      <w:widowControl w:val="1"/>
      <w:pBdr>
        <w:top w:space="0" w:sz="0" w:val="nil"/>
        <w:left w:space="0" w:sz="0" w:val="nil"/>
        <w:bottom w:color="622423" w:space="1" w:sz="24" w:val="single"/>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mbria" w:cs="Cambria" w:eastAsia="Cambria" w:hAnsi="Cambria"/>
        <w:b w:val="0"/>
        <w:i w:val="0"/>
        <w:smallCaps w:val="0"/>
        <w:strike w:val="0"/>
        <w:color w:val="000000"/>
        <w:sz w:val="32"/>
        <w:szCs w:val="32"/>
        <w:u w:val="none"/>
        <w:shd w:fill="auto" w:val="clear"/>
        <w:vertAlign w:val="baseline"/>
      </w:rPr>
    </w:pPr>
    <w:r w:rsidDel="00000000" w:rsidR="00000000" w:rsidRPr="00000000">
      <w:rPr>
        <w:rFonts w:ascii="Cambria" w:cs="Cambria" w:eastAsia="Cambria" w:hAnsi="Cambria"/>
        <w:b w:val="0"/>
        <w:i w:val="0"/>
        <w:smallCaps w:val="0"/>
        <w:strike w:val="0"/>
        <w:color w:val="000000"/>
        <w:sz w:val="32"/>
        <w:szCs w:val="32"/>
        <w:u w:val="none"/>
        <w:shd w:fill="auto" w:val="clear"/>
        <w:vertAlign w:val="baseline"/>
      </w:rPr>
      <w:pict>
        <v:shape id="WordPictureWatermark2" style="position:absolute;width:306.0pt;height:288.0pt;rotation:0;z-index:-503316481;mso-position-horizontal-relative:margin;mso-position-horizontal:center;mso-position-vertical-relative:margin;mso-position-vertical:center;" alt="" type="#_x0000_t75">
          <v:imagedata blacklevel="22938f" cropbottom="0f" cropleft="0f" cropright="0f" croptop="0f" gain="19661f" r:id="rId1" o:title="image1.png"/>
        </v:shape>
      </w:pict>
    </w:r>
    <w:r w:rsidDel="00000000" w:rsidR="00000000" w:rsidRPr="00000000">
      <w:rPr>
        <w:rFonts w:ascii="Cambria" w:cs="Cambria" w:eastAsia="Cambria" w:hAnsi="Cambria"/>
        <w:b w:val="0"/>
        <w:i w:val="0"/>
        <w:smallCaps w:val="0"/>
        <w:strike w:val="0"/>
        <w:color w:val="000000"/>
        <w:sz w:val="32"/>
        <w:szCs w:val="32"/>
        <w:u w:val="none"/>
        <w:shd w:fill="auto" w:val="clear"/>
        <w:vertAlign w:val="baseline"/>
        <w:rtl w:val="0"/>
      </w:rPr>
      <w:t xml:space="preserve">BRILLOPEDIA                                                   VOLUME 4 ISSUE 2</w:t>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C">
    <w:pPr>
      <w:keepNext w:val="0"/>
      <w:keepLines w:val="0"/>
      <w:pageBreakBefore w:val="0"/>
      <w:widowControl w:val="1"/>
      <w:pBdr>
        <w:top w:space="0" w:sz="0" w:val="nil"/>
        <w:left w:space="0" w:sz="0" w:val="nil"/>
        <w:bottom w:color="622423" w:space="1" w:sz="24" w:val="single"/>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mbria" w:cs="Cambria" w:eastAsia="Cambria" w:hAnsi="Cambria"/>
        <w:b w:val="0"/>
        <w:i w:val="0"/>
        <w:smallCaps w:val="0"/>
        <w:strike w:val="0"/>
        <w:color w:val="000000"/>
        <w:sz w:val="32"/>
        <w:szCs w:val="32"/>
        <w:u w:val="none"/>
        <w:shd w:fill="auto" w:val="clear"/>
        <w:vertAlign w:val="baseline"/>
      </w:rPr>
    </w:pPr>
    <w:r w:rsidDel="00000000" w:rsidR="00000000" w:rsidRPr="00000000">
      <w:rPr>
        <w:rFonts w:ascii="Cambria" w:cs="Cambria" w:eastAsia="Cambria" w:hAnsi="Cambria"/>
        <w:sz w:val="32"/>
        <w:szCs w:val="32"/>
        <w:rtl w:val="0"/>
      </w:rPr>
      <w:t xml:space="preserve">BRILLOPEDIA                                                           VOLUME 4 ISSUE 2</w:t>
    </w:r>
    <w:r w:rsidDel="00000000" w:rsidR="00000000" w:rsidRPr="00000000">
      <w:rPr>
        <w:rtl w:val="0"/>
      </w:rPr>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sz w:val="28"/>
        <w:szCs w:val="2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7">
    <w:lvl w:ilvl="0">
      <w:start w:val="1"/>
      <w:numFmt w:val="lowerRoman"/>
      <w:lvlText w:val="%1."/>
      <w:lvlJc w:val="righ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bullet"/>
      <w:lvlText w:val="●"/>
      <w:lvlJc w:val="left"/>
      <w:pPr>
        <w:ind w:left="1854" w:hanging="360"/>
      </w:pPr>
      <w:rPr>
        <w:rFonts w:ascii="Noto Sans Symbols" w:cs="Noto Sans Symbols" w:eastAsia="Noto Sans Symbols" w:hAnsi="Noto Sans Symbols"/>
      </w:rPr>
    </w:lvl>
    <w:lvl w:ilvl="1">
      <w:start w:val="1"/>
      <w:numFmt w:val="bullet"/>
      <w:lvlText w:val="o"/>
      <w:lvlJc w:val="left"/>
      <w:pPr>
        <w:ind w:left="2574" w:hanging="360"/>
      </w:pPr>
      <w:rPr>
        <w:rFonts w:ascii="Courier New" w:cs="Courier New" w:eastAsia="Courier New" w:hAnsi="Courier New"/>
      </w:rPr>
    </w:lvl>
    <w:lvl w:ilvl="2">
      <w:start w:val="1"/>
      <w:numFmt w:val="bullet"/>
      <w:lvlText w:val="▪"/>
      <w:lvlJc w:val="left"/>
      <w:pPr>
        <w:ind w:left="3294" w:hanging="360"/>
      </w:pPr>
      <w:rPr>
        <w:rFonts w:ascii="Noto Sans Symbols" w:cs="Noto Sans Symbols" w:eastAsia="Noto Sans Symbols" w:hAnsi="Noto Sans Symbols"/>
      </w:rPr>
    </w:lvl>
    <w:lvl w:ilvl="3">
      <w:start w:val="1"/>
      <w:numFmt w:val="bullet"/>
      <w:lvlText w:val="●"/>
      <w:lvlJc w:val="left"/>
      <w:pPr>
        <w:ind w:left="4014" w:hanging="360"/>
      </w:pPr>
      <w:rPr>
        <w:rFonts w:ascii="Noto Sans Symbols" w:cs="Noto Sans Symbols" w:eastAsia="Noto Sans Symbols" w:hAnsi="Noto Sans Symbols"/>
      </w:rPr>
    </w:lvl>
    <w:lvl w:ilvl="4">
      <w:start w:val="1"/>
      <w:numFmt w:val="bullet"/>
      <w:lvlText w:val="o"/>
      <w:lvlJc w:val="left"/>
      <w:pPr>
        <w:ind w:left="4734" w:hanging="360"/>
      </w:pPr>
      <w:rPr>
        <w:rFonts w:ascii="Courier New" w:cs="Courier New" w:eastAsia="Courier New" w:hAnsi="Courier New"/>
      </w:rPr>
    </w:lvl>
    <w:lvl w:ilvl="5">
      <w:start w:val="1"/>
      <w:numFmt w:val="bullet"/>
      <w:lvlText w:val="▪"/>
      <w:lvlJc w:val="left"/>
      <w:pPr>
        <w:ind w:left="5454" w:hanging="360"/>
      </w:pPr>
      <w:rPr>
        <w:rFonts w:ascii="Noto Sans Symbols" w:cs="Noto Sans Symbols" w:eastAsia="Noto Sans Symbols" w:hAnsi="Noto Sans Symbols"/>
      </w:rPr>
    </w:lvl>
    <w:lvl w:ilvl="6">
      <w:start w:val="1"/>
      <w:numFmt w:val="bullet"/>
      <w:lvlText w:val="●"/>
      <w:lvlJc w:val="left"/>
      <w:pPr>
        <w:ind w:left="6174" w:hanging="360"/>
      </w:pPr>
      <w:rPr>
        <w:rFonts w:ascii="Noto Sans Symbols" w:cs="Noto Sans Symbols" w:eastAsia="Noto Sans Symbols" w:hAnsi="Noto Sans Symbols"/>
      </w:rPr>
    </w:lvl>
    <w:lvl w:ilvl="7">
      <w:start w:val="1"/>
      <w:numFmt w:val="bullet"/>
      <w:lvlText w:val="o"/>
      <w:lvlJc w:val="left"/>
      <w:pPr>
        <w:ind w:left="6894" w:hanging="360"/>
      </w:pPr>
      <w:rPr>
        <w:rFonts w:ascii="Courier New" w:cs="Courier New" w:eastAsia="Courier New" w:hAnsi="Courier New"/>
      </w:rPr>
    </w:lvl>
    <w:lvl w:ilvl="8">
      <w:start w:val="1"/>
      <w:numFmt w:val="bullet"/>
      <w:lvlText w:val="▪"/>
      <w:lvlJc w:val="left"/>
      <w:pPr>
        <w:ind w:left="7614" w:hanging="360"/>
      </w:pPr>
      <w:rPr>
        <w:rFonts w:ascii="Noto Sans Symbols" w:cs="Noto Sans Symbols" w:eastAsia="Noto Sans Symbols" w:hAnsi="Noto Sans Symbols"/>
      </w:rPr>
    </w:lvl>
  </w:abstractNum>
  <w:abstractNum w:abstractNumId="9">
    <w:lvl w:ilvl="0">
      <w:start w:val="0"/>
      <w:numFmt w:val="bullet"/>
      <w:lvlText w:val="-"/>
      <w:lvlJc w:val="left"/>
      <w:pPr>
        <w:ind w:left="1440" w:hanging="360"/>
      </w:pPr>
      <w:rPr>
        <w:rFonts w:ascii="Times New Roman" w:cs="Times New Roman" w:eastAsia="Times New Roman" w:hAnsi="Times New Roman"/>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10">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
      <w:lvlJc w:val="left"/>
      <w:pPr>
        <w:ind w:left="1440" w:hanging="360"/>
      </w:pPr>
      <w:rPr>
        <w:rFonts w:ascii="Noto Sans Symbols" w:cs="Noto Sans Symbols" w:eastAsia="Noto Sans Symbols" w:hAnsi="Noto Sans Symbols"/>
      </w:rPr>
    </w:lvl>
    <w:lvl w:ilvl="2">
      <w:start w:val="0"/>
      <w:numFmt w:val="bullet"/>
      <w:lvlText w:val="-"/>
      <w:lvlJc w:val="left"/>
      <w:pPr>
        <w:ind w:left="2160" w:hanging="360"/>
      </w:pPr>
      <w:rPr>
        <w:rFonts w:ascii="Times New Roman" w:cs="Times New Roman" w:eastAsia="Times New Roman" w:hAnsi="Times New Roman"/>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12">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13">
    <w:lvl w:ilvl="0">
      <w:start w:val="1"/>
      <w:numFmt w:val="lowerLetter"/>
      <w:lvlText w:val="%1."/>
      <w:lvlJc w:val="left"/>
      <w:pPr>
        <w:ind w:left="1440" w:hanging="360"/>
      </w:pPr>
      <w:rPr>
        <w:sz w:val="28"/>
        <w:szCs w:val="28"/>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s://www.studyiq.com/articles" TargetMode="External"/><Relationship Id="rId10" Type="http://schemas.openxmlformats.org/officeDocument/2006/relationships/hyperlink" Target="https://prsindia.org/theprsblog" TargetMode="External"/><Relationship Id="rId13" Type="http://schemas.openxmlformats.org/officeDocument/2006/relationships/header" Target="header2.xml"/><Relationship Id="rId12" Type="http://schemas.openxmlformats.org/officeDocument/2006/relationships/image" Target="media/image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inidanculture.gov.in/reports-proceedings" TargetMode="External"/><Relationship Id="rId15" Type="http://schemas.openxmlformats.org/officeDocument/2006/relationships/header" Target="header1.xml"/><Relationship Id="rId14" Type="http://schemas.openxmlformats.org/officeDocument/2006/relationships/header" Target="header3.xml"/><Relationship Id="rId17" Type="http://schemas.openxmlformats.org/officeDocument/2006/relationships/footer" Target="footer3.xml"/><Relationship Id="rId16"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18" Type="http://schemas.openxmlformats.org/officeDocument/2006/relationships/footer" Target="footer1.xml"/><Relationship Id="rId7" Type="http://schemas.openxmlformats.org/officeDocument/2006/relationships/hyperlink" Target="http://loksabhadocs.nic.in/Refinput" TargetMode="External"/><Relationship Id="rId8" Type="http://schemas.openxmlformats.org/officeDocument/2006/relationships/hyperlink" Target="http://www.researchgate.net/publicatio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researchgate.net/publication" TargetMode="External"/><Relationship Id="rId2" Type="http://schemas.openxmlformats.org/officeDocument/2006/relationships/hyperlink" Target="http://loksabhadocs.nic.in/Refinput" TargetMode="External"/><Relationship Id="rId3" Type="http://schemas.openxmlformats.org/officeDocument/2006/relationships/hyperlink" Target="https://inidanculture.gov.in/reports-proceedings" TargetMode="External"/><Relationship Id="rId4" Type="http://schemas.openxmlformats.org/officeDocument/2006/relationships/hyperlink" Target="https://prsindia.org/theprsblog" TargetMode="External"/><Relationship Id="rId5" Type="http://schemas.openxmlformats.org/officeDocument/2006/relationships/hyperlink" Target="https://www.studyiq.com/articl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